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E79A" w14:textId="77777777"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Пояснительная записка</w:t>
      </w:r>
    </w:p>
    <w:p w14:paraId="5DB9CBE5" w14:textId="54B91686"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 xml:space="preserve">к проекту национального стандарта СТ РК </w:t>
      </w:r>
      <w:r w:rsidR="00873D01" w:rsidRPr="00873D01">
        <w:rPr>
          <w:rFonts w:ascii="Times New Roman" w:hAnsi="Times New Roman" w:cs="Times New Roman"/>
          <w:b/>
          <w:sz w:val="24"/>
          <w:szCs w:val="24"/>
        </w:rPr>
        <w:t>«</w:t>
      </w:r>
      <w:r w:rsidR="00A763EF" w:rsidRPr="00A763EF">
        <w:rPr>
          <w:rFonts w:ascii="Times New Roman" w:hAnsi="Times New Roman" w:cs="Times New Roman"/>
          <w:b/>
          <w:sz w:val="24"/>
          <w:szCs w:val="24"/>
        </w:rPr>
        <w:t>Судебное медико-криминалистическое исследование. Термины и определения</w:t>
      </w:r>
      <w:r w:rsidR="00873D01" w:rsidRPr="00873D01">
        <w:rPr>
          <w:rFonts w:ascii="Times New Roman" w:hAnsi="Times New Roman" w:cs="Times New Roman"/>
          <w:b/>
          <w:sz w:val="24"/>
          <w:szCs w:val="24"/>
        </w:rPr>
        <w:t>»</w:t>
      </w:r>
      <w:r w:rsidR="00ED31A4">
        <w:rPr>
          <w:rFonts w:ascii="Times New Roman" w:hAnsi="Times New Roman" w:cs="Times New Roman"/>
          <w:b/>
          <w:sz w:val="24"/>
          <w:szCs w:val="24"/>
        </w:rPr>
        <w:t xml:space="preserve"> </w:t>
      </w:r>
    </w:p>
    <w:p w14:paraId="3BCFFEF0"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lang w:val="kk-KZ"/>
        </w:rPr>
      </w:pPr>
    </w:p>
    <w:p w14:paraId="3574027F"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r w:rsidRPr="00521DDA">
        <w:rPr>
          <w:rFonts w:ascii="Times New Roman" w:hAnsi="Times New Roman" w:cs="Times New Roman"/>
          <w:b/>
          <w:spacing w:val="-6"/>
          <w:sz w:val="24"/>
          <w:szCs w:val="24"/>
          <w:lang w:val="kk-KZ"/>
        </w:rPr>
        <w:t xml:space="preserve">1 </w:t>
      </w:r>
      <w:r w:rsidRPr="00521DDA">
        <w:rPr>
          <w:rFonts w:ascii="Times New Roman" w:hAnsi="Times New Roman" w:cs="Times New Roman"/>
          <w:b/>
          <w:spacing w:val="-6"/>
          <w:sz w:val="24"/>
          <w:szCs w:val="24"/>
        </w:rPr>
        <w:t>Техническое обоснование разработки стандарта</w:t>
      </w:r>
    </w:p>
    <w:p w14:paraId="3E909CA7" w14:textId="77777777" w:rsidR="00521DDA" w:rsidRPr="004C0E0F"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p>
    <w:p w14:paraId="76C267A8"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Необходимость разработки данного стандарта продиктована производственной необходимостью и выполнением задачи устойчивого развития в области судебной экспертизы путем разработок национальных стандартов.</w:t>
      </w:r>
    </w:p>
    <w:p w14:paraId="1B0F8D5F"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Целью медико-криминалистических исследований является установление и оценка фактов, при которых, помимо знаний в области общей судебной медицины, требуются специальные научные познания в области криминалистической идентификации и применение различных специальных лабораторных методов исследования (физических, фотографических, технических, химических, математических).</w:t>
      </w:r>
    </w:p>
    <w:p w14:paraId="3EAF3A5F"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 xml:space="preserve">Однозначность понятий в области медико-криминалистических исследований имеет решающее значение, принимая во внимание соответствующие последствия, которые могут возникнуть в результате различного толкования понятий при проведении экспертизы. </w:t>
      </w:r>
    </w:p>
    <w:p w14:paraId="635F2594"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Термины и определения обеспечивают пользователям структурированный подход и способствует единообразное применение терминов и определений при производстве экспертных исследований.</w:t>
      </w:r>
    </w:p>
    <w:p w14:paraId="54317B27"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Кроме того, система понятий и концептуальное представление терминологических данных будут полезны для любого пользователя, поскольку это будет способствовать четкому, точному взаимопониманию в деятельности всех заинтересованных участников, специализирующихся в области судебной гистологии, а также формированию и совершенствованию нормативно-технической базы.</w:t>
      </w:r>
    </w:p>
    <w:p w14:paraId="094E5F96"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 xml:space="preserve">Термины, устанавливаемые настоящими стандартами, рекомендуются для применения в экспертных исследованиях. </w:t>
      </w:r>
    </w:p>
    <w:p w14:paraId="1EB5BDDC"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Стандарты предназначены для применения судебными экспертами, осуществляющими производство судебно-экспертных исследований, сотрудникам научных организаций, а также другим заинтересованным лицам.</w:t>
      </w:r>
    </w:p>
    <w:p w14:paraId="3D415586" w14:textId="77777777" w:rsidR="00A763EF" w:rsidRPr="00A763EF"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Какие-либо национальные стандарты по вышеуказанным видам отсутствуют.</w:t>
      </w:r>
    </w:p>
    <w:p w14:paraId="2AFED18A" w14:textId="0E7ABCCA" w:rsidR="00ED31A4" w:rsidRDefault="00A763EF" w:rsidP="00A763EF">
      <w:pPr>
        <w:pStyle w:val="3"/>
        <w:ind w:firstLine="567"/>
        <w:jc w:val="both"/>
        <w:rPr>
          <w:rFonts w:eastAsiaTheme="minorEastAsia"/>
          <w:b w:val="0"/>
          <w:i w:val="0"/>
          <w:sz w:val="24"/>
          <w:szCs w:val="24"/>
        </w:rPr>
      </w:pPr>
      <w:r w:rsidRPr="00A763EF">
        <w:rPr>
          <w:rFonts w:eastAsiaTheme="minorEastAsia"/>
          <w:b w:val="0"/>
          <w:i w:val="0"/>
          <w:sz w:val="24"/>
          <w:szCs w:val="24"/>
        </w:rPr>
        <w:t>Заявителем настоящих стандартов является Технический комитет (ТК) № 105 в области судебно-экспертной деятельности и смежных областях «Судебная экспертиза»</w:t>
      </w:r>
    </w:p>
    <w:p w14:paraId="1BEE44A3" w14:textId="77777777" w:rsidR="00A763EF" w:rsidRDefault="00A763EF" w:rsidP="00A763EF">
      <w:pPr>
        <w:pStyle w:val="3"/>
        <w:ind w:firstLine="567"/>
        <w:jc w:val="both"/>
        <w:rPr>
          <w:i w:val="0"/>
          <w:sz w:val="24"/>
          <w:szCs w:val="24"/>
        </w:rPr>
      </w:pPr>
    </w:p>
    <w:p w14:paraId="467C3339" w14:textId="63D24513" w:rsidR="00521DDA" w:rsidRPr="004C0E0F" w:rsidRDefault="00521DDA" w:rsidP="00A9511B">
      <w:pPr>
        <w:pStyle w:val="3"/>
        <w:ind w:firstLine="567"/>
        <w:jc w:val="both"/>
        <w:rPr>
          <w:i w:val="0"/>
          <w:sz w:val="24"/>
          <w:szCs w:val="24"/>
        </w:rPr>
      </w:pPr>
      <w:r w:rsidRPr="004C0E0F">
        <w:rPr>
          <w:i w:val="0"/>
          <w:sz w:val="24"/>
          <w:szCs w:val="24"/>
        </w:rPr>
        <w:t xml:space="preserve">2 Основание для разработки стандарта </w:t>
      </w:r>
    </w:p>
    <w:p w14:paraId="25C5E0D5" w14:textId="77777777" w:rsidR="00521DDA" w:rsidRPr="004C0E0F" w:rsidRDefault="00521DDA" w:rsidP="00521DDA">
      <w:pPr>
        <w:pStyle w:val="3"/>
        <w:ind w:firstLine="567"/>
        <w:jc w:val="both"/>
        <w:rPr>
          <w:i w:val="0"/>
          <w:sz w:val="24"/>
          <w:szCs w:val="24"/>
        </w:rPr>
      </w:pPr>
    </w:p>
    <w:p w14:paraId="41D277E3" w14:textId="799DEA91" w:rsidR="00A9511B" w:rsidRPr="004C0E0F" w:rsidRDefault="00A9511B" w:rsidP="00A9511B">
      <w:pPr>
        <w:pStyle w:val="1"/>
        <w:ind w:firstLine="567"/>
        <w:jc w:val="both"/>
        <w:rPr>
          <w:rFonts w:eastAsiaTheme="minorEastAsia"/>
          <w:sz w:val="24"/>
          <w:szCs w:val="24"/>
        </w:rPr>
      </w:pPr>
      <w:r w:rsidRPr="004C0E0F">
        <w:rPr>
          <w:rFonts w:eastAsiaTheme="minorEastAsia"/>
          <w:sz w:val="24"/>
          <w:szCs w:val="24"/>
        </w:rPr>
        <w:t xml:space="preserve">Национальный план стандартизации </w:t>
      </w:r>
      <w:proofErr w:type="gramStart"/>
      <w:r w:rsidRPr="004C0E0F">
        <w:rPr>
          <w:rFonts w:eastAsiaTheme="minorEastAsia"/>
          <w:sz w:val="24"/>
          <w:szCs w:val="24"/>
        </w:rPr>
        <w:t>на 202</w:t>
      </w:r>
      <w:r w:rsidR="00873D01">
        <w:rPr>
          <w:rFonts w:eastAsiaTheme="minorEastAsia"/>
          <w:sz w:val="24"/>
          <w:szCs w:val="24"/>
        </w:rPr>
        <w:t>3</w:t>
      </w:r>
      <w:r w:rsidRPr="004C0E0F">
        <w:rPr>
          <w:rFonts w:eastAsiaTheme="minorEastAsia"/>
          <w:sz w:val="24"/>
          <w:szCs w:val="24"/>
        </w:rPr>
        <w:t xml:space="preserve"> год</w:t>
      </w:r>
      <w:proofErr w:type="gramEnd"/>
      <w:r w:rsidRPr="004C0E0F">
        <w:rPr>
          <w:rFonts w:eastAsiaTheme="minorEastAsia"/>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от «</w:t>
      </w:r>
      <w:r w:rsidR="00873D01">
        <w:rPr>
          <w:rFonts w:eastAsiaTheme="minorEastAsia"/>
          <w:sz w:val="24"/>
          <w:szCs w:val="24"/>
        </w:rPr>
        <w:t>20</w:t>
      </w:r>
      <w:r w:rsidRPr="004C0E0F">
        <w:rPr>
          <w:rFonts w:eastAsiaTheme="minorEastAsia"/>
          <w:sz w:val="24"/>
          <w:szCs w:val="24"/>
        </w:rPr>
        <w:t>» декабря 202</w:t>
      </w:r>
      <w:r w:rsidR="00873D01">
        <w:rPr>
          <w:rFonts w:eastAsiaTheme="minorEastAsia"/>
          <w:sz w:val="24"/>
          <w:szCs w:val="24"/>
        </w:rPr>
        <w:t>2</w:t>
      </w:r>
      <w:r w:rsidRPr="004C0E0F">
        <w:rPr>
          <w:rFonts w:eastAsiaTheme="minorEastAsia"/>
          <w:sz w:val="24"/>
          <w:szCs w:val="24"/>
        </w:rPr>
        <w:t xml:space="preserve"> года № 4</w:t>
      </w:r>
      <w:r w:rsidR="00873D01">
        <w:rPr>
          <w:rFonts w:eastAsiaTheme="minorEastAsia"/>
          <w:sz w:val="24"/>
          <w:szCs w:val="24"/>
        </w:rPr>
        <w:t>33</w:t>
      </w:r>
      <w:r w:rsidRPr="004C0E0F">
        <w:rPr>
          <w:rFonts w:eastAsiaTheme="minorEastAsia"/>
          <w:sz w:val="24"/>
          <w:szCs w:val="24"/>
        </w:rPr>
        <w:t xml:space="preserve">-НҚ  </w:t>
      </w:r>
    </w:p>
    <w:p w14:paraId="3E2DD459" w14:textId="77777777" w:rsidR="008F03BB" w:rsidRDefault="008F03BB" w:rsidP="008F03BB">
      <w:pPr>
        <w:pStyle w:val="a5"/>
        <w:ind w:left="-426" w:firstLine="710"/>
        <w:jc w:val="both"/>
        <w:rPr>
          <w:b/>
        </w:rPr>
      </w:pPr>
      <w:r w:rsidRPr="007F4628">
        <w:rPr>
          <w:color w:val="000000" w:themeColor="text1"/>
        </w:rPr>
        <w:t xml:space="preserve">Организация, предоставившая заявку в Национальный план стандартизации на </w:t>
      </w:r>
      <w:r w:rsidRPr="007F4628">
        <w:rPr>
          <w:color w:val="000000" w:themeColor="text1"/>
        </w:rPr>
        <w:br/>
        <w:t>2023 год, – РГКП «Центр судебных экспертиз МЮ РК».</w:t>
      </w:r>
    </w:p>
    <w:p w14:paraId="598CBC79" w14:textId="77777777" w:rsidR="00A9511B" w:rsidRPr="004C0E0F" w:rsidRDefault="00A9511B" w:rsidP="00521DDA">
      <w:pPr>
        <w:pStyle w:val="1"/>
        <w:ind w:firstLine="567"/>
        <w:jc w:val="both"/>
        <w:rPr>
          <w:b/>
          <w:sz w:val="24"/>
          <w:szCs w:val="24"/>
        </w:rPr>
      </w:pPr>
    </w:p>
    <w:p w14:paraId="0FD36858" w14:textId="48A0BD58" w:rsidR="00521DDA" w:rsidRPr="004C0E0F" w:rsidRDefault="00521DDA" w:rsidP="00521DDA">
      <w:pPr>
        <w:pStyle w:val="1"/>
        <w:ind w:firstLine="567"/>
        <w:jc w:val="both"/>
        <w:rPr>
          <w:b/>
          <w:sz w:val="24"/>
          <w:szCs w:val="24"/>
        </w:rPr>
      </w:pPr>
      <w:r w:rsidRPr="004C0E0F">
        <w:rPr>
          <w:b/>
          <w:sz w:val="24"/>
          <w:szCs w:val="24"/>
        </w:rPr>
        <w:t>3 Характеристика объекта стандартизации</w:t>
      </w:r>
    </w:p>
    <w:p w14:paraId="3C56A24E" w14:textId="77777777" w:rsidR="00521DDA" w:rsidRPr="004C0E0F" w:rsidRDefault="00521DDA" w:rsidP="00521DDA">
      <w:pPr>
        <w:tabs>
          <w:tab w:val="left" w:pos="567"/>
        </w:tabs>
        <w:spacing w:after="0" w:line="240" w:lineRule="auto"/>
        <w:ind w:firstLine="567"/>
        <w:jc w:val="both"/>
        <w:rPr>
          <w:rFonts w:ascii="Times New Roman" w:hAnsi="Times New Roman" w:cs="Times New Roman"/>
          <w:sz w:val="24"/>
          <w:szCs w:val="24"/>
        </w:rPr>
      </w:pPr>
    </w:p>
    <w:p w14:paraId="30504132" w14:textId="265C17AA" w:rsidR="00584632" w:rsidRDefault="00A763EF" w:rsidP="0053334B">
      <w:pPr>
        <w:pStyle w:val="1"/>
        <w:ind w:firstLine="567"/>
        <w:jc w:val="both"/>
        <w:rPr>
          <w:rFonts w:eastAsiaTheme="minorEastAsia"/>
          <w:sz w:val="24"/>
          <w:szCs w:val="24"/>
        </w:rPr>
      </w:pPr>
      <w:r w:rsidRPr="00A763EF">
        <w:rPr>
          <w:rFonts w:eastAsiaTheme="minorEastAsia"/>
          <w:sz w:val="24"/>
          <w:szCs w:val="24"/>
        </w:rPr>
        <w:t>Настоящие стандарты устанавливают термины и определения, способствуют установлению единых представлений и однозначных понятий, применяемых в области экспертного исследования.</w:t>
      </w:r>
    </w:p>
    <w:p w14:paraId="694C9C0D" w14:textId="77777777" w:rsidR="00A763EF" w:rsidRPr="004C0E0F" w:rsidRDefault="00A763EF" w:rsidP="0053334B">
      <w:pPr>
        <w:pStyle w:val="1"/>
        <w:ind w:firstLine="567"/>
        <w:jc w:val="both"/>
        <w:rPr>
          <w:b/>
          <w:sz w:val="24"/>
          <w:szCs w:val="24"/>
        </w:rPr>
      </w:pPr>
    </w:p>
    <w:p w14:paraId="70AA81BF" w14:textId="48089371" w:rsidR="00521DDA" w:rsidRPr="004C0E0F" w:rsidRDefault="00521DDA" w:rsidP="00521DDA">
      <w:pPr>
        <w:pStyle w:val="1"/>
        <w:ind w:firstLine="567"/>
        <w:jc w:val="both"/>
        <w:rPr>
          <w:b/>
          <w:sz w:val="24"/>
          <w:szCs w:val="24"/>
        </w:rPr>
      </w:pPr>
      <w:r w:rsidRPr="004C0E0F">
        <w:rPr>
          <w:b/>
          <w:sz w:val="24"/>
          <w:szCs w:val="24"/>
        </w:rPr>
        <w:t>4 Сведения о взаимосвязи проекта стандарта с техническими регламентами и документами по стандартизации</w:t>
      </w:r>
    </w:p>
    <w:p w14:paraId="0F4BF3E9" w14:textId="77777777" w:rsidR="00A9511B" w:rsidRPr="004C0E0F" w:rsidRDefault="00A9511B" w:rsidP="00A9511B">
      <w:pPr>
        <w:pStyle w:val="1"/>
        <w:jc w:val="both"/>
        <w:rPr>
          <w:sz w:val="24"/>
          <w:szCs w:val="24"/>
        </w:rPr>
      </w:pPr>
    </w:p>
    <w:p w14:paraId="794CF39A" w14:textId="2D96A499" w:rsidR="00B82A2E" w:rsidRDefault="00ED31A4" w:rsidP="00521DDA">
      <w:pPr>
        <w:pStyle w:val="a3"/>
        <w:ind w:firstLine="567"/>
        <w:jc w:val="both"/>
        <w:rPr>
          <w:rFonts w:ascii="Times New Roman" w:eastAsia="Times New Roman" w:hAnsi="Times New Roman" w:cs="Times New Roman"/>
          <w:sz w:val="24"/>
          <w:szCs w:val="24"/>
        </w:rPr>
      </w:pPr>
      <w:r w:rsidRPr="00ED31A4">
        <w:rPr>
          <w:rFonts w:ascii="Times New Roman" w:eastAsia="Times New Roman" w:hAnsi="Times New Roman" w:cs="Times New Roman"/>
          <w:sz w:val="24"/>
          <w:szCs w:val="24"/>
        </w:rPr>
        <w:lastRenderedPageBreak/>
        <w:t>Настоящие стандарты взаимосвязаны с законодательством Республики Казахстан о судебно-экспертной деятельности.</w:t>
      </w:r>
    </w:p>
    <w:p w14:paraId="2493D4D3" w14:textId="77777777" w:rsidR="00ED31A4" w:rsidRPr="004C0E0F" w:rsidRDefault="00ED31A4" w:rsidP="00521DDA">
      <w:pPr>
        <w:pStyle w:val="a3"/>
        <w:ind w:firstLine="567"/>
        <w:jc w:val="both"/>
        <w:rPr>
          <w:rFonts w:ascii="Times New Roman" w:hAnsi="Times New Roman" w:cs="Times New Roman"/>
          <w:b/>
          <w:sz w:val="24"/>
          <w:szCs w:val="24"/>
        </w:rPr>
      </w:pPr>
    </w:p>
    <w:p w14:paraId="4D9143C9" w14:textId="6F284470" w:rsidR="00521DDA" w:rsidRPr="004C0E0F" w:rsidRDefault="00521DDA" w:rsidP="00521DDA">
      <w:pPr>
        <w:pStyle w:val="a3"/>
        <w:ind w:firstLine="567"/>
        <w:jc w:val="both"/>
        <w:rPr>
          <w:rFonts w:ascii="Times New Roman" w:hAnsi="Times New Roman" w:cs="Times New Roman"/>
          <w:b/>
          <w:sz w:val="24"/>
          <w:szCs w:val="24"/>
        </w:rPr>
      </w:pPr>
      <w:r w:rsidRPr="004C0E0F">
        <w:rPr>
          <w:rFonts w:ascii="Times New Roman" w:hAnsi="Times New Roman" w:cs="Times New Roman"/>
          <w:b/>
          <w:sz w:val="24"/>
          <w:szCs w:val="24"/>
        </w:rPr>
        <w:t>5 Предполагаемые пользователи стандарта</w:t>
      </w:r>
    </w:p>
    <w:p w14:paraId="58E24957" w14:textId="77777777" w:rsidR="00521DDA" w:rsidRPr="004C0E0F" w:rsidRDefault="00521DDA" w:rsidP="00521DDA">
      <w:pPr>
        <w:pStyle w:val="a3"/>
        <w:ind w:firstLine="567"/>
        <w:jc w:val="both"/>
        <w:rPr>
          <w:rFonts w:ascii="Times New Roman" w:hAnsi="Times New Roman" w:cs="Times New Roman"/>
          <w:b/>
          <w:sz w:val="24"/>
          <w:szCs w:val="24"/>
        </w:rPr>
      </w:pPr>
    </w:p>
    <w:p w14:paraId="0B415755" w14:textId="77777777" w:rsidR="00B82A2E" w:rsidRDefault="00B82A2E" w:rsidP="0053334B">
      <w:pPr>
        <w:widowControl w:val="0"/>
        <w:autoSpaceDE w:val="0"/>
        <w:autoSpaceDN w:val="0"/>
        <w:adjustRightInd w:val="0"/>
        <w:ind w:firstLine="567"/>
        <w:jc w:val="both"/>
        <w:rPr>
          <w:rFonts w:ascii="Times New Roman" w:hAnsi="Times New Roman" w:cs="Times New Roman"/>
          <w:bCs/>
          <w:sz w:val="24"/>
          <w:szCs w:val="24"/>
          <w:lang w:eastAsia="en-US"/>
        </w:rPr>
      </w:pPr>
      <w:r w:rsidRPr="00B82A2E">
        <w:rPr>
          <w:rFonts w:ascii="Times New Roman" w:hAnsi="Times New Roman" w:cs="Times New Roman"/>
          <w:bCs/>
          <w:sz w:val="24"/>
          <w:szCs w:val="24"/>
          <w:lang w:eastAsia="en-US"/>
        </w:rPr>
        <w:t>Возможными пользователями данного стандарта являются Генеральная прокуратура РК, Комитет национальной безопасности Республики Казахстан, Министерство внутренних дел Республики Казахстан, Служба экономических расследований АФМ РК, Республиканское государственное казенное предприятие «Центр судебных экспертиз Министерства юстиции Республики Казахстан, Палата судебных экспертов Республики Казахстан, Республиканская коллегия адвокатов и др.</w:t>
      </w:r>
    </w:p>
    <w:p w14:paraId="64616967" w14:textId="1DD4E426" w:rsidR="00521DDA" w:rsidRPr="0053334B" w:rsidRDefault="00521DDA" w:rsidP="0053334B">
      <w:pPr>
        <w:widowControl w:val="0"/>
        <w:autoSpaceDE w:val="0"/>
        <w:autoSpaceDN w:val="0"/>
        <w:adjustRightInd w:val="0"/>
        <w:ind w:firstLine="567"/>
        <w:jc w:val="both"/>
        <w:rPr>
          <w:rFonts w:ascii="Times New Roman" w:hAnsi="Times New Roman" w:cs="Times New Roman"/>
          <w:b/>
          <w:sz w:val="24"/>
          <w:szCs w:val="24"/>
        </w:rPr>
      </w:pPr>
      <w:r w:rsidRPr="004C0E0F">
        <w:rPr>
          <w:rFonts w:ascii="Times New Roman" w:hAnsi="Times New Roman" w:cs="Times New Roman"/>
          <w:b/>
          <w:sz w:val="24"/>
          <w:szCs w:val="24"/>
        </w:rPr>
        <w:t>6 Сведения о рассылке проекта стандарта на согласование</w:t>
      </w:r>
    </w:p>
    <w:p w14:paraId="3ED98A99" w14:textId="1FA4D8CB" w:rsidR="00521DDA" w:rsidRDefault="008F03BB" w:rsidP="00521DDA">
      <w:pPr>
        <w:pStyle w:val="2"/>
        <w:tabs>
          <w:tab w:val="left" w:pos="851"/>
        </w:tabs>
        <w:ind w:firstLine="567"/>
        <w:jc w:val="both"/>
        <w:rPr>
          <w:rFonts w:eastAsiaTheme="minorEastAsia"/>
          <w:sz w:val="24"/>
          <w:szCs w:val="24"/>
        </w:rPr>
      </w:pPr>
      <w:r w:rsidRPr="008F03BB">
        <w:rPr>
          <w:rFonts w:eastAsiaTheme="minorEastAsia"/>
          <w:sz w:val="24"/>
          <w:szCs w:val="24"/>
        </w:rPr>
        <w:t>Проект стандарта будет направлен на согласование всем заинтересованным государственным органам, организациям и ассоциациям, НПП РК «Атамекен», техническим комитетам, органам по подтверждению соответствия.</w:t>
      </w:r>
    </w:p>
    <w:p w14:paraId="18DCA23B" w14:textId="77777777" w:rsidR="008F03BB" w:rsidRPr="004C0E0F" w:rsidRDefault="008F03BB" w:rsidP="00521DDA">
      <w:pPr>
        <w:pStyle w:val="2"/>
        <w:tabs>
          <w:tab w:val="left" w:pos="851"/>
        </w:tabs>
        <w:ind w:firstLine="567"/>
        <w:jc w:val="both"/>
        <w:rPr>
          <w:b/>
          <w:sz w:val="24"/>
          <w:szCs w:val="24"/>
        </w:rPr>
      </w:pPr>
    </w:p>
    <w:p w14:paraId="3AA6E7B3" w14:textId="77777777" w:rsidR="00521DDA" w:rsidRDefault="00521DDA" w:rsidP="00521DDA">
      <w:pPr>
        <w:pStyle w:val="2"/>
        <w:tabs>
          <w:tab w:val="left" w:pos="851"/>
        </w:tabs>
        <w:ind w:firstLine="567"/>
        <w:jc w:val="both"/>
        <w:rPr>
          <w:b/>
          <w:sz w:val="24"/>
          <w:szCs w:val="24"/>
        </w:rPr>
      </w:pPr>
      <w:r w:rsidRPr="004C0E0F">
        <w:rPr>
          <w:b/>
          <w:sz w:val="24"/>
          <w:szCs w:val="24"/>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19AD017F" w14:textId="77777777" w:rsidR="008F03BB" w:rsidRPr="004C0E0F" w:rsidRDefault="008F03BB" w:rsidP="00521DDA">
      <w:pPr>
        <w:pStyle w:val="2"/>
        <w:tabs>
          <w:tab w:val="left" w:pos="851"/>
        </w:tabs>
        <w:ind w:firstLine="567"/>
        <w:jc w:val="both"/>
        <w:rPr>
          <w:b/>
          <w:sz w:val="24"/>
          <w:szCs w:val="24"/>
        </w:rPr>
      </w:pPr>
    </w:p>
    <w:p w14:paraId="301388E2" w14:textId="6F5C8E9D" w:rsidR="00521DDA" w:rsidRPr="008F03BB" w:rsidRDefault="008F03BB" w:rsidP="00521DDA">
      <w:pPr>
        <w:pStyle w:val="2"/>
        <w:tabs>
          <w:tab w:val="left" w:pos="851"/>
        </w:tabs>
        <w:ind w:firstLine="567"/>
        <w:jc w:val="both"/>
        <w:rPr>
          <w:bCs/>
          <w:sz w:val="24"/>
          <w:szCs w:val="24"/>
          <w:lang w:val="kk-KZ"/>
        </w:rPr>
      </w:pPr>
      <w:r w:rsidRPr="008F03BB">
        <w:rPr>
          <w:bCs/>
          <w:sz w:val="24"/>
          <w:szCs w:val="24"/>
          <w:lang w:val="kk-KZ"/>
        </w:rPr>
        <w:t>Настоящий стандарт разработан на основе с учетом:</w:t>
      </w:r>
    </w:p>
    <w:p w14:paraId="501E5708" w14:textId="6DF48A09" w:rsidR="008F03BB" w:rsidRPr="008F03BB" w:rsidRDefault="008F03BB" w:rsidP="008F03BB">
      <w:pPr>
        <w:pStyle w:val="2"/>
        <w:tabs>
          <w:tab w:val="left" w:pos="851"/>
        </w:tabs>
        <w:ind w:firstLine="567"/>
        <w:jc w:val="both"/>
        <w:rPr>
          <w:rFonts w:eastAsiaTheme="minorEastAsia"/>
          <w:sz w:val="24"/>
          <w:szCs w:val="24"/>
        </w:rPr>
      </w:pPr>
      <w:r>
        <w:rPr>
          <w:rFonts w:eastAsiaTheme="minorEastAsia"/>
          <w:sz w:val="24"/>
          <w:szCs w:val="24"/>
        </w:rPr>
        <w:t xml:space="preserve">1. </w:t>
      </w:r>
      <w:proofErr w:type="spellStart"/>
      <w:r w:rsidRPr="008F03BB">
        <w:rPr>
          <w:rFonts w:eastAsiaTheme="minorEastAsia"/>
          <w:sz w:val="24"/>
          <w:szCs w:val="24"/>
        </w:rPr>
        <w:t>Федосюткин</w:t>
      </w:r>
      <w:proofErr w:type="spellEnd"/>
      <w:r w:rsidRPr="008F03BB">
        <w:rPr>
          <w:rFonts w:eastAsiaTheme="minorEastAsia"/>
          <w:sz w:val="24"/>
          <w:szCs w:val="24"/>
        </w:rPr>
        <w:t xml:space="preserve"> Б. А. Медицинская криминалистика: руководство предназначено для лиц, занимающихся расследованием преступлений, и широкого круга читателей / Борис </w:t>
      </w:r>
      <w:proofErr w:type="spellStart"/>
      <w:r w:rsidRPr="008F03BB">
        <w:rPr>
          <w:rFonts w:eastAsiaTheme="minorEastAsia"/>
          <w:sz w:val="24"/>
          <w:szCs w:val="24"/>
        </w:rPr>
        <w:t>Федосюткин</w:t>
      </w:r>
      <w:proofErr w:type="spellEnd"/>
      <w:r w:rsidRPr="008F03BB">
        <w:rPr>
          <w:rFonts w:eastAsiaTheme="minorEastAsia"/>
          <w:sz w:val="24"/>
          <w:szCs w:val="24"/>
        </w:rPr>
        <w:t xml:space="preserve">. - </w:t>
      </w:r>
      <w:proofErr w:type="spellStart"/>
      <w:r w:rsidRPr="008F03BB">
        <w:rPr>
          <w:rFonts w:eastAsiaTheme="minorEastAsia"/>
          <w:sz w:val="24"/>
          <w:szCs w:val="24"/>
        </w:rPr>
        <w:t>Ростов</w:t>
      </w:r>
      <w:proofErr w:type="spellEnd"/>
      <w:r w:rsidRPr="008F03BB">
        <w:rPr>
          <w:rFonts w:eastAsiaTheme="minorEastAsia"/>
          <w:sz w:val="24"/>
          <w:szCs w:val="24"/>
        </w:rPr>
        <w:t>-на-Дону: Приазовский Край, 2006. - 422 с.: ил.; 20 см.; ISBN 5-86236-167-7 (В пер.)</w:t>
      </w:r>
    </w:p>
    <w:p w14:paraId="36FDA02E" w14:textId="22F54108" w:rsidR="008F03BB" w:rsidRPr="008F03BB" w:rsidRDefault="008F03BB" w:rsidP="008F03BB">
      <w:pPr>
        <w:pStyle w:val="2"/>
        <w:tabs>
          <w:tab w:val="left" w:pos="851"/>
        </w:tabs>
        <w:ind w:firstLine="567"/>
        <w:jc w:val="both"/>
        <w:rPr>
          <w:rFonts w:eastAsiaTheme="minorEastAsia"/>
          <w:sz w:val="24"/>
          <w:szCs w:val="24"/>
        </w:rPr>
      </w:pPr>
      <w:r>
        <w:rPr>
          <w:rFonts w:eastAsiaTheme="minorEastAsia"/>
          <w:sz w:val="24"/>
          <w:szCs w:val="24"/>
        </w:rPr>
        <w:t xml:space="preserve">2. </w:t>
      </w:r>
      <w:r w:rsidRPr="008F03BB">
        <w:rPr>
          <w:rFonts w:eastAsiaTheme="minorEastAsia"/>
          <w:sz w:val="24"/>
          <w:szCs w:val="24"/>
        </w:rPr>
        <w:t xml:space="preserve">Козлов В.В., Кирсанов В.Н., Колоколов Г.Р., Иванов А.Н. К82 Криминалистическое и судебно-медицинское исследование холодного оружия и следов его применения: Учеб. </w:t>
      </w:r>
      <w:proofErr w:type="spellStart"/>
      <w:r w:rsidRPr="008F03BB">
        <w:rPr>
          <w:rFonts w:eastAsiaTheme="minorEastAsia"/>
          <w:sz w:val="24"/>
          <w:szCs w:val="24"/>
        </w:rPr>
        <w:t>пособ</w:t>
      </w:r>
      <w:proofErr w:type="spellEnd"/>
      <w:r w:rsidRPr="008F03BB">
        <w:rPr>
          <w:rFonts w:eastAsiaTheme="minorEastAsia"/>
          <w:sz w:val="24"/>
          <w:szCs w:val="24"/>
        </w:rPr>
        <w:t xml:space="preserve">. для студ., обучающихся по специальности 021100 «Юриспруденция» – Саратов: Изд-во </w:t>
      </w:r>
      <w:proofErr w:type="spellStart"/>
      <w:r w:rsidRPr="008F03BB">
        <w:rPr>
          <w:rFonts w:eastAsiaTheme="minorEastAsia"/>
          <w:sz w:val="24"/>
          <w:szCs w:val="24"/>
        </w:rPr>
        <w:t>Сарат</w:t>
      </w:r>
      <w:proofErr w:type="spellEnd"/>
      <w:r w:rsidRPr="008F03BB">
        <w:rPr>
          <w:rFonts w:eastAsiaTheme="minorEastAsia"/>
          <w:sz w:val="24"/>
          <w:szCs w:val="24"/>
        </w:rPr>
        <w:t>. ун-та, 2006. – 88 с.: ил. ISBN 5-292-03580-</w:t>
      </w:r>
    </w:p>
    <w:p w14:paraId="09F4F60D" w14:textId="01922724" w:rsidR="00521DDA" w:rsidRDefault="008F03BB" w:rsidP="008F03BB">
      <w:pPr>
        <w:pStyle w:val="2"/>
        <w:tabs>
          <w:tab w:val="left" w:pos="851"/>
        </w:tabs>
        <w:ind w:firstLine="567"/>
        <w:jc w:val="both"/>
        <w:rPr>
          <w:rFonts w:eastAsiaTheme="minorEastAsia"/>
          <w:sz w:val="24"/>
          <w:szCs w:val="24"/>
        </w:rPr>
      </w:pPr>
      <w:r>
        <w:rPr>
          <w:rFonts w:eastAsiaTheme="minorEastAsia"/>
          <w:sz w:val="24"/>
          <w:szCs w:val="24"/>
        </w:rPr>
        <w:t xml:space="preserve">3. </w:t>
      </w:r>
      <w:r w:rsidRPr="008F03BB">
        <w:rPr>
          <w:rFonts w:eastAsiaTheme="minorEastAsia"/>
          <w:sz w:val="24"/>
          <w:szCs w:val="24"/>
        </w:rPr>
        <w:t>Ищенко Е. П. Криминалистика в вопросах и ответах. Учебное пособие. М: Проспект, 2020. 304 с.</w:t>
      </w:r>
    </w:p>
    <w:p w14:paraId="7D8015D9" w14:textId="77777777" w:rsidR="008F03BB" w:rsidRPr="004C0E0F" w:rsidRDefault="008F03BB" w:rsidP="008F03BB">
      <w:pPr>
        <w:pStyle w:val="2"/>
        <w:tabs>
          <w:tab w:val="left" w:pos="851"/>
        </w:tabs>
        <w:ind w:firstLine="567"/>
        <w:jc w:val="both"/>
        <w:rPr>
          <w:b/>
          <w:sz w:val="24"/>
          <w:szCs w:val="24"/>
        </w:rPr>
      </w:pPr>
    </w:p>
    <w:p w14:paraId="158FFA76" w14:textId="77777777" w:rsidR="00521DDA" w:rsidRPr="00521DDA" w:rsidRDefault="00521DDA" w:rsidP="00521DDA">
      <w:pPr>
        <w:pStyle w:val="2"/>
        <w:tabs>
          <w:tab w:val="left" w:pos="851"/>
        </w:tabs>
        <w:ind w:firstLine="567"/>
        <w:jc w:val="both"/>
        <w:rPr>
          <w:sz w:val="24"/>
          <w:szCs w:val="24"/>
          <w:lang w:val="kk-KZ"/>
        </w:rPr>
      </w:pPr>
      <w:r w:rsidRPr="004C0E0F">
        <w:rPr>
          <w:b/>
          <w:sz w:val="24"/>
          <w:szCs w:val="24"/>
        </w:rPr>
        <w:t>8 Данные о р</w:t>
      </w:r>
      <w:r w:rsidRPr="00521DDA">
        <w:rPr>
          <w:b/>
          <w:sz w:val="24"/>
          <w:szCs w:val="24"/>
        </w:rPr>
        <w:t>азработчике и соисполнителях (контактные данные), сроках разработки проекта стандарта</w:t>
      </w:r>
    </w:p>
    <w:p w14:paraId="4F883B03" w14:textId="77777777" w:rsidR="00521DDA" w:rsidRPr="00521DDA" w:rsidRDefault="00521DDA" w:rsidP="00521DDA">
      <w:pPr>
        <w:pStyle w:val="31"/>
        <w:tabs>
          <w:tab w:val="left" w:pos="851"/>
        </w:tabs>
        <w:spacing w:after="0" w:line="240" w:lineRule="auto"/>
        <w:ind w:left="0"/>
        <w:jc w:val="both"/>
        <w:rPr>
          <w:rFonts w:ascii="Times New Roman" w:hAnsi="Times New Roman" w:cs="Times New Roman"/>
          <w:b/>
          <w:sz w:val="24"/>
          <w:szCs w:val="24"/>
        </w:rPr>
      </w:pPr>
    </w:p>
    <w:p w14:paraId="384CBA22" w14:textId="77777777" w:rsidR="00521DDA" w:rsidRPr="00521DDA" w:rsidRDefault="00521DDA" w:rsidP="00521DDA">
      <w:pPr>
        <w:pStyle w:val="31"/>
        <w:tabs>
          <w:tab w:val="left" w:pos="851"/>
        </w:tabs>
        <w:spacing w:after="0" w:line="240" w:lineRule="auto"/>
        <w:ind w:left="0" w:firstLine="567"/>
        <w:jc w:val="both"/>
        <w:rPr>
          <w:rFonts w:ascii="Times New Roman" w:hAnsi="Times New Roman" w:cs="Times New Roman"/>
          <w:b/>
          <w:sz w:val="24"/>
          <w:szCs w:val="24"/>
        </w:rPr>
      </w:pPr>
      <w:r w:rsidRPr="00521DDA">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28D6E3C" w14:textId="20709136" w:rsidR="00521DDA" w:rsidRPr="00521DDA" w:rsidRDefault="00521DDA" w:rsidP="00521DDA">
      <w:pPr>
        <w:spacing w:after="0"/>
        <w:ind w:firstLine="540"/>
        <w:contextualSpacing/>
        <w:rPr>
          <w:rFonts w:ascii="Times New Roman" w:hAnsi="Times New Roman" w:cs="Times New Roman"/>
          <w:sz w:val="24"/>
          <w:szCs w:val="24"/>
        </w:rPr>
      </w:pPr>
      <w:r w:rsidRPr="00521DDA">
        <w:rPr>
          <w:rFonts w:ascii="Times New Roman" w:hAnsi="Times New Roman" w:cs="Times New Roman"/>
          <w:sz w:val="24"/>
          <w:szCs w:val="24"/>
        </w:rPr>
        <w:t xml:space="preserve">Адрес: г. </w:t>
      </w:r>
      <w:r w:rsidR="00A9511B">
        <w:rPr>
          <w:rFonts w:ascii="Times New Roman" w:hAnsi="Times New Roman" w:cs="Times New Roman"/>
          <w:sz w:val="24"/>
          <w:szCs w:val="24"/>
        </w:rPr>
        <w:t>Астана</w:t>
      </w:r>
      <w:r w:rsidRPr="00521DDA">
        <w:rPr>
          <w:rFonts w:ascii="Times New Roman" w:hAnsi="Times New Roman" w:cs="Times New Roman"/>
          <w:sz w:val="24"/>
          <w:szCs w:val="24"/>
        </w:rPr>
        <w:t>, Левый берег, ул.</w:t>
      </w:r>
      <w:r w:rsidRPr="00521DDA">
        <w:rPr>
          <w:rFonts w:ascii="Times New Roman" w:hAnsi="Times New Roman" w:cs="Times New Roman"/>
          <w:sz w:val="24"/>
          <w:szCs w:val="24"/>
          <w:lang w:val="kk-KZ"/>
        </w:rPr>
        <w:t xml:space="preserve"> Мәнгілік ел</w:t>
      </w:r>
      <w:r w:rsidRPr="00521DDA">
        <w:rPr>
          <w:rFonts w:ascii="Times New Roman" w:hAnsi="Times New Roman" w:cs="Times New Roman"/>
          <w:sz w:val="24"/>
          <w:szCs w:val="24"/>
        </w:rPr>
        <w:t>, дом 11</w:t>
      </w:r>
    </w:p>
    <w:p w14:paraId="33108C5E" w14:textId="77777777" w:rsidR="008F03BB" w:rsidRPr="008F03BB" w:rsidRDefault="008F03BB" w:rsidP="008F03BB">
      <w:pPr>
        <w:spacing w:after="0" w:line="240" w:lineRule="auto"/>
        <w:ind w:firstLine="539"/>
        <w:jc w:val="both"/>
        <w:rPr>
          <w:rFonts w:ascii="Times New Roman" w:eastAsia="Times New Roman" w:hAnsi="Times New Roman" w:cs="Times New Roman"/>
          <w:sz w:val="24"/>
          <w:szCs w:val="24"/>
        </w:rPr>
      </w:pPr>
      <w:r w:rsidRPr="008F03BB">
        <w:rPr>
          <w:rFonts w:ascii="Times New Roman" w:eastAsia="Times New Roman" w:hAnsi="Times New Roman" w:cs="Times New Roman"/>
          <w:sz w:val="24"/>
          <w:szCs w:val="24"/>
        </w:rPr>
        <w:t xml:space="preserve">010000, г. Астана, пр. </w:t>
      </w:r>
      <w:proofErr w:type="spellStart"/>
      <w:r w:rsidRPr="008F03BB">
        <w:rPr>
          <w:rFonts w:ascii="Times New Roman" w:eastAsia="Times New Roman" w:hAnsi="Times New Roman" w:cs="Times New Roman"/>
          <w:sz w:val="24"/>
          <w:szCs w:val="24"/>
        </w:rPr>
        <w:t>Мангилик</w:t>
      </w:r>
      <w:proofErr w:type="spellEnd"/>
      <w:r w:rsidRPr="008F03BB">
        <w:rPr>
          <w:rFonts w:ascii="Times New Roman" w:eastAsia="Times New Roman" w:hAnsi="Times New Roman" w:cs="Times New Roman"/>
          <w:sz w:val="24"/>
          <w:szCs w:val="24"/>
        </w:rPr>
        <w:t xml:space="preserve"> Ел, здание «Эталонный центр»</w:t>
      </w:r>
    </w:p>
    <w:p w14:paraId="1C452D05" w14:textId="1CE5BF67" w:rsidR="00521DDA" w:rsidRPr="00521DDA" w:rsidRDefault="008F03BB" w:rsidP="008F03BB">
      <w:pPr>
        <w:spacing w:after="0" w:line="240" w:lineRule="auto"/>
        <w:ind w:firstLine="539"/>
        <w:jc w:val="both"/>
        <w:rPr>
          <w:rFonts w:ascii="Times New Roman" w:hAnsi="Times New Roman" w:cs="Times New Roman"/>
          <w:b/>
          <w:sz w:val="24"/>
          <w:szCs w:val="24"/>
          <w:lang w:eastAsia="en-US"/>
        </w:rPr>
      </w:pPr>
      <w:r w:rsidRPr="008F03BB">
        <w:rPr>
          <w:rFonts w:ascii="Times New Roman" w:eastAsia="Times New Roman" w:hAnsi="Times New Roman" w:cs="Times New Roman"/>
          <w:sz w:val="24"/>
          <w:szCs w:val="24"/>
        </w:rPr>
        <w:t>тел. +7 (7172) 28-29-46, е-</w:t>
      </w:r>
      <w:proofErr w:type="spellStart"/>
      <w:r w:rsidRPr="008F03BB">
        <w:rPr>
          <w:rFonts w:ascii="Times New Roman" w:eastAsia="Times New Roman" w:hAnsi="Times New Roman" w:cs="Times New Roman"/>
          <w:sz w:val="24"/>
          <w:szCs w:val="24"/>
        </w:rPr>
        <w:t>mail</w:t>
      </w:r>
      <w:proofErr w:type="spellEnd"/>
      <w:r w:rsidRPr="008F03BB">
        <w:rPr>
          <w:rFonts w:ascii="Times New Roman" w:eastAsia="Times New Roman" w:hAnsi="Times New Roman" w:cs="Times New Roman"/>
          <w:sz w:val="24"/>
          <w:szCs w:val="24"/>
        </w:rPr>
        <w:t>: g.nygmetolla@ksm.kz</w:t>
      </w:r>
    </w:p>
    <w:p w14:paraId="24DCDC7B" w14:textId="77777777" w:rsidR="00521DDA" w:rsidRPr="00521DDA" w:rsidRDefault="00521DDA" w:rsidP="00521DDA">
      <w:pPr>
        <w:spacing w:after="0" w:line="240" w:lineRule="auto"/>
        <w:ind w:firstLine="539"/>
        <w:jc w:val="both"/>
        <w:rPr>
          <w:rFonts w:ascii="Times New Roman" w:hAnsi="Times New Roman" w:cs="Times New Roman"/>
          <w:b/>
          <w:sz w:val="24"/>
          <w:szCs w:val="24"/>
          <w:lang w:eastAsia="en-US"/>
        </w:rPr>
      </w:pPr>
    </w:p>
    <w:p w14:paraId="48030EFC" w14:textId="77777777" w:rsidR="00521DDA" w:rsidRPr="00521DDA" w:rsidRDefault="00521DDA" w:rsidP="00521DDA">
      <w:pPr>
        <w:pStyle w:val="a3"/>
        <w:ind w:firstLine="567"/>
        <w:rPr>
          <w:rFonts w:ascii="Times New Roman" w:hAnsi="Times New Roman" w:cs="Times New Roman"/>
          <w:b/>
          <w:sz w:val="24"/>
          <w:szCs w:val="24"/>
        </w:rPr>
      </w:pPr>
    </w:p>
    <w:p w14:paraId="3862AB25" w14:textId="77777777"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Заместитель</w:t>
      </w:r>
    </w:p>
    <w:p w14:paraId="3C4C7CDD" w14:textId="776740B9"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 xml:space="preserve">Генерального директора                                                             </w:t>
      </w:r>
      <w:r w:rsidR="006F70C6">
        <w:rPr>
          <w:rFonts w:ascii="Times New Roman" w:hAnsi="Times New Roman" w:cs="Times New Roman"/>
          <w:b/>
          <w:sz w:val="24"/>
          <w:szCs w:val="24"/>
        </w:rPr>
        <w:t>Е. Амирханова</w:t>
      </w: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2820"/>
        <w:gridCol w:w="2820"/>
      </w:tblGrid>
      <w:tr w:rsidR="00521DDA" w:rsidRPr="00521DDA" w14:paraId="00D1FBF4" w14:textId="77777777" w:rsidTr="002122D4">
        <w:tc>
          <w:tcPr>
            <w:tcW w:w="3715" w:type="dxa"/>
          </w:tcPr>
          <w:p w14:paraId="5D5EFCA1" w14:textId="77777777" w:rsidR="00521DDA" w:rsidRPr="00521DDA" w:rsidRDefault="00521DDA" w:rsidP="002122D4">
            <w:pPr>
              <w:pStyle w:val="a3"/>
              <w:jc w:val="center"/>
              <w:rPr>
                <w:rFonts w:ascii="Times New Roman" w:hAnsi="Times New Roman" w:cs="Times New Roman"/>
                <w:b/>
                <w:sz w:val="24"/>
                <w:szCs w:val="24"/>
                <w:lang w:eastAsia="en-US"/>
              </w:rPr>
            </w:pPr>
          </w:p>
        </w:tc>
        <w:tc>
          <w:tcPr>
            <w:tcW w:w="2820" w:type="dxa"/>
          </w:tcPr>
          <w:p w14:paraId="200E9E3B" w14:textId="77777777" w:rsidR="00521DDA" w:rsidRPr="00521DDA" w:rsidRDefault="00521DDA" w:rsidP="002122D4">
            <w:pPr>
              <w:pStyle w:val="a3"/>
              <w:jc w:val="right"/>
              <w:rPr>
                <w:rFonts w:ascii="Times New Roman" w:hAnsi="Times New Roman" w:cs="Times New Roman"/>
                <w:b/>
                <w:sz w:val="24"/>
                <w:szCs w:val="24"/>
                <w:lang w:eastAsia="en-US"/>
              </w:rPr>
            </w:pPr>
          </w:p>
        </w:tc>
        <w:tc>
          <w:tcPr>
            <w:tcW w:w="2820" w:type="dxa"/>
          </w:tcPr>
          <w:p w14:paraId="6BD90CEE" w14:textId="77777777" w:rsidR="00521DDA" w:rsidRPr="00521DDA" w:rsidRDefault="00521DDA" w:rsidP="002122D4">
            <w:pPr>
              <w:pStyle w:val="a3"/>
              <w:jc w:val="right"/>
              <w:rPr>
                <w:rFonts w:ascii="Times New Roman" w:hAnsi="Times New Roman" w:cs="Times New Roman"/>
                <w:b/>
                <w:sz w:val="24"/>
                <w:szCs w:val="24"/>
                <w:lang w:eastAsia="en-US"/>
              </w:rPr>
            </w:pPr>
          </w:p>
        </w:tc>
      </w:tr>
    </w:tbl>
    <w:p w14:paraId="12BB6BED" w14:textId="77777777" w:rsidR="0069277A" w:rsidRPr="00521DDA" w:rsidRDefault="0069277A">
      <w:pPr>
        <w:rPr>
          <w:rFonts w:ascii="Times New Roman" w:hAnsi="Times New Roman" w:cs="Times New Roman"/>
          <w:sz w:val="24"/>
          <w:szCs w:val="24"/>
        </w:rPr>
      </w:pPr>
    </w:p>
    <w:sectPr w:rsidR="0069277A" w:rsidRPr="00521D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EE0"/>
    <w:rsid w:val="004C0E0F"/>
    <w:rsid w:val="00521DDA"/>
    <w:rsid w:val="0053334B"/>
    <w:rsid w:val="00584632"/>
    <w:rsid w:val="0069277A"/>
    <w:rsid w:val="006F70C6"/>
    <w:rsid w:val="007D0EE0"/>
    <w:rsid w:val="00873D01"/>
    <w:rsid w:val="008F03BB"/>
    <w:rsid w:val="009A40CA"/>
    <w:rsid w:val="00A763EF"/>
    <w:rsid w:val="00A9511B"/>
    <w:rsid w:val="00B82A2E"/>
    <w:rsid w:val="00ED31A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96B6E"/>
  <w15:docId w15:val="{A0C4A921-9CC0-4324-B3F8-93C7CC34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DD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521DDA"/>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521DDA"/>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521DDA"/>
    <w:pPr>
      <w:spacing w:after="120"/>
      <w:ind w:left="283"/>
    </w:pPr>
    <w:rPr>
      <w:sz w:val="16"/>
      <w:szCs w:val="16"/>
    </w:rPr>
  </w:style>
  <w:style w:type="character" w:customStyle="1" w:styleId="32">
    <w:name w:val="Основной текст с отступом 3 Знак"/>
    <w:basedOn w:val="a0"/>
    <w:link w:val="31"/>
    <w:uiPriority w:val="99"/>
    <w:semiHidden/>
    <w:rsid w:val="00521DDA"/>
    <w:rPr>
      <w:rFonts w:eastAsiaTheme="minorEastAsia"/>
      <w:sz w:val="16"/>
      <w:szCs w:val="16"/>
      <w:lang w:eastAsia="ru-RU"/>
    </w:rPr>
  </w:style>
  <w:style w:type="paragraph" w:styleId="a3">
    <w:name w:val="No Spacing"/>
    <w:uiPriority w:val="1"/>
    <w:qFormat/>
    <w:rsid w:val="00521DDA"/>
    <w:pPr>
      <w:spacing w:after="0" w:line="240" w:lineRule="auto"/>
    </w:pPr>
    <w:rPr>
      <w:rFonts w:eastAsiaTheme="minorEastAsia"/>
      <w:lang w:eastAsia="ru-RU"/>
    </w:rPr>
  </w:style>
  <w:style w:type="paragraph" w:customStyle="1" w:styleId="1">
    <w:name w:val="Обычный1"/>
    <w:rsid w:val="00521DDA"/>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521DDA"/>
    <w:pPr>
      <w:snapToGrid w:val="0"/>
      <w:spacing w:after="0" w:line="240" w:lineRule="auto"/>
    </w:pPr>
    <w:rPr>
      <w:rFonts w:ascii="Times New Roman" w:eastAsia="Times New Roman" w:hAnsi="Times New Roman" w:cs="Times New Roman"/>
      <w:sz w:val="20"/>
      <w:szCs w:val="20"/>
      <w:lang w:eastAsia="ru-RU"/>
    </w:rPr>
  </w:style>
  <w:style w:type="table" w:styleId="a4">
    <w:name w:val="Table Grid"/>
    <w:basedOn w:val="a1"/>
    <w:uiPriority w:val="59"/>
    <w:rsid w:val="00521DD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F03BB"/>
    <w:pPr>
      <w:suppressAutoHyphens/>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755</Words>
  <Characters>4308</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Resp Office</cp:lastModifiedBy>
  <cp:revision>13</cp:revision>
  <dcterms:created xsi:type="dcterms:W3CDTF">2022-07-13T08:06:00Z</dcterms:created>
  <dcterms:modified xsi:type="dcterms:W3CDTF">2023-05-26T03:52:00Z</dcterms:modified>
</cp:coreProperties>
</file>